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5521" w14:textId="77777777" w:rsidR="007B51C9" w:rsidRDefault="00000000">
      <w:pPr>
        <w:jc w:val="both"/>
        <w:rPr>
          <w:b/>
          <w:bCs/>
        </w:rPr>
      </w:pPr>
      <w:r>
        <w:rPr>
          <w:rFonts w:ascii="Times New Roman" w:hAnsi="Times New Roman"/>
          <w:b/>
          <w:bCs/>
        </w:rPr>
        <w:t>Le indagini archeologiche in piazza Municipio</w:t>
      </w:r>
    </w:p>
    <w:p w14:paraId="5FB3B059" w14:textId="77777777" w:rsidR="007B51C9" w:rsidRDefault="007B51C9">
      <w:pPr>
        <w:jc w:val="both"/>
        <w:rPr>
          <w:b/>
          <w:bCs/>
        </w:rPr>
      </w:pPr>
    </w:p>
    <w:p w14:paraId="0B812C9D" w14:textId="77777777" w:rsidR="007B51C9" w:rsidRDefault="00000000">
      <w:pPr>
        <w:jc w:val="both"/>
        <w:rPr>
          <w:rFonts w:ascii="Times New Roman" w:hAnsi="Times New Roman"/>
        </w:rPr>
      </w:pPr>
      <w:r>
        <w:rPr>
          <w:rFonts w:ascii="Times New Roman" w:hAnsi="Times New Roman"/>
        </w:rPr>
        <w:t>Gli scavi archeologici condotti per la realizzazione della stazione metropolitana di piazza Municipio hanno rivelato che questa ospitava in antico un’ampia insenatura dove, in età greca e romana, si collocava il porto cittadino.</w:t>
      </w:r>
    </w:p>
    <w:p w14:paraId="7599342F" w14:textId="77777777" w:rsidR="007B51C9" w:rsidRDefault="00000000">
      <w:pPr>
        <w:jc w:val="both"/>
        <w:rPr>
          <w:rFonts w:ascii="Times New Roman" w:hAnsi="Times New Roman"/>
        </w:rPr>
      </w:pPr>
      <w:r>
        <w:rPr>
          <w:rFonts w:ascii="Times New Roman" w:hAnsi="Times New Roman"/>
        </w:rPr>
        <w:t>Le indagini hanno interessato alcune infrastrutture portuali (banchine, moli, pontili), parte del quartiere retrostante, comprensivo di due edifici termali, ed ampi settori degli antichi fondali. Questi hanno restituito grandi quantità di reperti, caduti o gettati in acqua durante la vita del porto, e sigillati dai successivi livelli di insabbiamento.</w:t>
      </w:r>
    </w:p>
    <w:p w14:paraId="1173F546" w14:textId="77777777" w:rsidR="007B51C9" w:rsidRDefault="00000000">
      <w:pPr>
        <w:jc w:val="both"/>
        <w:rPr>
          <w:rFonts w:ascii="Times New Roman" w:hAnsi="Times New Roman"/>
        </w:rPr>
      </w:pPr>
      <w:r>
        <w:rPr>
          <w:rFonts w:ascii="Times New Roman" w:hAnsi="Times New Roman"/>
        </w:rPr>
        <w:t>Le particolari condizioni di giacitura hanno consentito di recuperare molti materiali integri o reintegrabili e, data, la presenza della falda acquifera, anche di conservare reperti organici, normalmente destinati a deteriorarsi: si tratta di oggetti in legno e in cuoio, di stuoie, cordame e di 7 relitti di epoca romana.</w:t>
      </w:r>
    </w:p>
    <w:p w14:paraId="28953E32" w14:textId="77777777" w:rsidR="007B51C9" w:rsidRDefault="00000000">
      <w:pPr>
        <w:jc w:val="both"/>
        <w:rPr>
          <w:rFonts w:ascii="Times New Roman" w:hAnsi="Times New Roman"/>
        </w:rPr>
      </w:pPr>
      <w:r>
        <w:rPr>
          <w:rFonts w:ascii="Times New Roman" w:hAnsi="Times New Roman"/>
        </w:rPr>
        <w:t>Lo scavo dei fondali e lo studio dei materiali hanno permesso di ricostruire l’attività del porto ed i consumi della città nel corso di un lungo periodo, dal III secolo a.C. fino all’insabbiamento dell’area nel V e VI secolo d.C., che determinò la collocazione del nuovo porto più ad oriente.</w:t>
      </w:r>
    </w:p>
    <w:p w14:paraId="007FCDBF" w14:textId="77777777" w:rsidR="007B51C9" w:rsidRDefault="00000000">
      <w:pPr>
        <w:jc w:val="both"/>
        <w:rPr>
          <w:rFonts w:ascii="Times New Roman" w:hAnsi="Times New Roman"/>
        </w:rPr>
      </w:pPr>
      <w:r>
        <w:rPr>
          <w:rFonts w:ascii="Times New Roman" w:hAnsi="Times New Roman"/>
        </w:rPr>
        <w:t xml:space="preserve">Al termine dello scavo è stato necessario avviare un articolato progetto di restauro dei reperti, diversi per tipologia e materia prima. Una selezione è stata restaurata per l’esposizione temporanea di “Stazione Neapolis”, presso il MANN, e per diverse mostre nazionali ed internazionali. Inoltre è stata restaurata gran parte dei materiali organici, tra cui uno dei relitti, mentre per gli altri sono in corso </w:t>
      </w:r>
      <w:proofErr w:type="gramStart"/>
      <w:r>
        <w:rPr>
          <w:rFonts w:ascii="Times New Roman" w:hAnsi="Times New Roman"/>
        </w:rPr>
        <w:t>le lavorazione</w:t>
      </w:r>
      <w:proofErr w:type="gramEnd"/>
      <w:r>
        <w:rPr>
          <w:rFonts w:ascii="Times New Roman" w:hAnsi="Times New Roman"/>
        </w:rPr>
        <w:t xml:space="preserve"> o la progettazione.</w:t>
      </w:r>
    </w:p>
    <w:p w14:paraId="4204DA19" w14:textId="77777777" w:rsidR="007B51C9" w:rsidRDefault="00000000">
      <w:pPr>
        <w:jc w:val="both"/>
        <w:rPr>
          <w:rFonts w:ascii="Times New Roman" w:hAnsi="Times New Roman"/>
        </w:rPr>
      </w:pPr>
      <w:r>
        <w:rPr>
          <w:rFonts w:ascii="Times New Roman" w:hAnsi="Times New Roman"/>
        </w:rPr>
        <w:t>In anni recenti, grazie ad un finanziamento Art-Bonus, sono state restaurate anche le quasi 4000 monete rinvenute, mentre il progetto in questione, grazie alla collaborazione con l’Accademia di Belle Arti di Napoli intende aggiungere un ulteriore tassello restaurando alcuni reperti in vetro di epoca romana.</w:t>
      </w:r>
    </w:p>
    <w:p w14:paraId="4F2FD663" w14:textId="77777777" w:rsidR="007B51C9" w:rsidRDefault="007B51C9">
      <w:pPr>
        <w:jc w:val="both"/>
        <w:rPr>
          <w:rFonts w:ascii="Times New Roman" w:hAnsi="Times New Roman"/>
        </w:rPr>
      </w:pPr>
    </w:p>
    <w:p w14:paraId="79406915" w14:textId="77777777" w:rsidR="007B51C9" w:rsidRDefault="00000000">
      <w:pPr>
        <w:jc w:val="both"/>
        <w:rPr>
          <w:rFonts w:ascii="Times New Roman" w:hAnsi="Times New Roman"/>
        </w:rPr>
      </w:pPr>
      <w:r>
        <w:rPr>
          <w:rFonts w:ascii="Times New Roman" w:hAnsi="Times New Roman"/>
          <w:b/>
          <w:bCs/>
        </w:rPr>
        <w:t>Il vetro nel mondo antico</w:t>
      </w:r>
    </w:p>
    <w:p w14:paraId="370C31A8" w14:textId="77777777" w:rsidR="007B51C9" w:rsidRDefault="007B51C9">
      <w:pPr>
        <w:jc w:val="both"/>
        <w:rPr>
          <w:rFonts w:ascii="Times New Roman" w:hAnsi="Times New Roman"/>
        </w:rPr>
      </w:pPr>
    </w:p>
    <w:p w14:paraId="69D9CA94" w14:textId="77777777" w:rsidR="007B51C9" w:rsidRDefault="00000000">
      <w:pPr>
        <w:jc w:val="both"/>
        <w:rPr>
          <w:rFonts w:ascii="Times New Roman" w:hAnsi="Times New Roman"/>
        </w:rPr>
      </w:pPr>
      <w:r>
        <w:rPr>
          <w:rFonts w:ascii="Times New Roman" w:hAnsi="Times New Roman"/>
        </w:rPr>
        <w:t>Il lavoro degli archeologici si è approcciato in maniera analitica alla produzione vetraria antica soprattutto in anni recenti, quando si è scoperto il potenziale informativo di questa classe di oggetti, sia sugli aspetti artigianali che relativamente al commercio e agli usi dei prodotti finiti.</w:t>
      </w:r>
    </w:p>
    <w:p w14:paraId="633D73B8" w14:textId="77777777" w:rsidR="007B51C9" w:rsidRDefault="00000000">
      <w:pPr>
        <w:jc w:val="both"/>
        <w:rPr>
          <w:rFonts w:ascii="Times New Roman" w:hAnsi="Times New Roman"/>
        </w:rPr>
      </w:pPr>
      <w:r>
        <w:rPr>
          <w:rFonts w:ascii="Times New Roman" w:hAnsi="Times New Roman"/>
        </w:rPr>
        <w:t xml:space="preserve">La produzione vetraria ha origine in Egitto e Mesopotamia alla fine del III millennio a.C. e prevedeva inizialmente la modellazione del vetro intorno ad un bulbo di argilla avente la forma desiderata. </w:t>
      </w:r>
    </w:p>
    <w:p w14:paraId="478D3F85" w14:textId="77777777" w:rsidR="007B51C9" w:rsidRDefault="00000000">
      <w:pPr>
        <w:jc w:val="both"/>
        <w:rPr>
          <w:rFonts w:ascii="Times New Roman" w:hAnsi="Times New Roman"/>
        </w:rPr>
      </w:pPr>
      <w:r>
        <w:rPr>
          <w:rFonts w:ascii="Times New Roman" w:hAnsi="Times New Roman"/>
        </w:rPr>
        <w:t>A partire dal III secolo a.C., un nuovo repertorio di forme, più grandi e complesse, indica la diffusione di una tecnica più rapida ed efficiente, quella a matrice</w:t>
      </w:r>
      <w:r>
        <w:rPr>
          <w:rFonts w:ascii="Times New Roman" w:hAnsi="Times New Roman"/>
          <w:b/>
          <w:bCs/>
        </w:rPr>
        <w:t xml:space="preserve">. </w:t>
      </w:r>
      <w:r>
        <w:rPr>
          <w:rFonts w:ascii="Times New Roman" w:hAnsi="Times New Roman"/>
        </w:rPr>
        <w:t>Questa tecnica poteva prevedere sia la liquefazione del vetro tra due matrici, sia la pressione di una massa vitrea all’interno di una matrice, sia la sua modellazione con altri strumenti. Una simile innovazione comportò il moltiplicarsi dei centri produttori, tra cui quelli in Italia.</w:t>
      </w:r>
    </w:p>
    <w:p w14:paraId="10CABDD1" w14:textId="77777777" w:rsidR="007B51C9" w:rsidRDefault="00000000">
      <w:pPr>
        <w:jc w:val="both"/>
        <w:rPr>
          <w:rFonts w:ascii="Times New Roman" w:hAnsi="Times New Roman"/>
        </w:rPr>
      </w:pPr>
      <w:r>
        <w:rPr>
          <w:rFonts w:ascii="Times New Roman" w:hAnsi="Times New Roman"/>
        </w:rPr>
        <w:t>La filiera produttiva prevedeva una netta distinzione tra officine primarie, dove era realizzata la materia prima sotto forma di panetti, e officine secondarie, in cui questa veniva lavorata. Sebbene gran parte delle officine primarie si trovassero in Oriente, da un passo di Plinio sappiamo che in epoca romana ve ne erano anche in Campania.</w:t>
      </w:r>
    </w:p>
    <w:p w14:paraId="4CE0AF00" w14:textId="77777777" w:rsidR="007B51C9" w:rsidRDefault="00000000">
      <w:pPr>
        <w:jc w:val="both"/>
        <w:rPr>
          <w:rFonts w:ascii="Times New Roman" w:hAnsi="Times New Roman"/>
        </w:rPr>
      </w:pPr>
      <w:r>
        <w:rPr>
          <w:rFonts w:ascii="Times New Roman" w:hAnsi="Times New Roman"/>
        </w:rPr>
        <w:t>L’età di Augusto (27 a.C. – 14 d.C.) segnò un’ulteriore svolta nel campo della produzione vetraria, sia per la diffusione dei centri di produzione che per l’introduzione di nuove tecniche di realizzazione, in particolare la soffiatura libera e la soffiatura in matrice.</w:t>
      </w:r>
      <w:r>
        <w:rPr>
          <w:rFonts w:ascii="Times New Roman" w:hAnsi="Times New Roman"/>
          <w:b/>
          <w:bCs/>
        </w:rPr>
        <w:t xml:space="preserve"> </w:t>
      </w:r>
      <w:r>
        <w:rPr>
          <w:rFonts w:ascii="Times New Roman" w:hAnsi="Times New Roman"/>
        </w:rPr>
        <w:t xml:space="preserve">Queste tecniche, ancora utilizzate, prevedono la soffiatura entro </w:t>
      </w:r>
      <w:r>
        <w:rPr>
          <w:rFonts w:ascii="Times New Roman" w:hAnsi="Times New Roman"/>
        </w:rPr>
        <w:lastRenderedPageBreak/>
        <w:t>canne in ferro alla cui estremità è posto il bulbo di vetro; con questo espediente si diede il via ad una produzione massiva, si calcola che un artigiano del tempo realizzasse in media circa 100 esemplari al giorno!</w:t>
      </w:r>
    </w:p>
    <w:p w14:paraId="62A6760E" w14:textId="77777777" w:rsidR="007B51C9" w:rsidRDefault="00000000">
      <w:pPr>
        <w:jc w:val="both"/>
        <w:rPr>
          <w:rFonts w:ascii="Times New Roman" w:hAnsi="Times New Roman"/>
        </w:rPr>
      </w:pPr>
      <w:r>
        <w:rPr>
          <w:rFonts w:ascii="Times New Roman" w:hAnsi="Times New Roman"/>
        </w:rPr>
        <w:t>In pochi decenni questi prodotti si diffusero in tutti gli strati sociali, sostituendo in alcuni casi il vasellame in argilla, soprattutto nel caso dei contenitori per bere o per unguenti. Il vetro però non venne utilizzato solo per i recipienti, ma anche per le lastre, trasparenti o opache, destinate alla chiusura di finestre e alla decorazione di edifici attraverso l’uso di mosaici a pasta vitrea per ambienti e mobili.</w:t>
      </w:r>
    </w:p>
    <w:p w14:paraId="270BD5DF" w14:textId="77777777" w:rsidR="007B51C9" w:rsidRDefault="00000000">
      <w:pPr>
        <w:jc w:val="both"/>
        <w:rPr>
          <w:rFonts w:ascii="Times New Roman" w:hAnsi="Times New Roman"/>
        </w:rPr>
      </w:pPr>
      <w:r>
        <w:rPr>
          <w:rFonts w:ascii="Times New Roman" w:hAnsi="Times New Roman"/>
        </w:rPr>
        <w:t>A Napoli gli scavi per la realizzazione della stazione metropolitana Università in piazza Bovio hanno permesso di identificare un’officina di produzione del vetro attiva nel tardo VI secolo d.C.</w:t>
      </w:r>
    </w:p>
    <w:p w14:paraId="0C189D3D" w14:textId="77777777" w:rsidR="007B51C9" w:rsidRDefault="007B51C9">
      <w:pPr>
        <w:jc w:val="both"/>
        <w:rPr>
          <w:rFonts w:ascii="Times New Roman" w:hAnsi="Times New Roman"/>
        </w:rPr>
      </w:pPr>
    </w:p>
    <w:p w14:paraId="2754DCBE" w14:textId="77777777" w:rsidR="007B51C9" w:rsidRDefault="007B51C9">
      <w:pPr>
        <w:jc w:val="both"/>
        <w:rPr>
          <w:b/>
          <w:bCs/>
        </w:rPr>
      </w:pPr>
    </w:p>
    <w:p w14:paraId="7DA5259C" w14:textId="77777777" w:rsidR="007B51C9" w:rsidRDefault="007B51C9">
      <w:pPr>
        <w:jc w:val="both"/>
        <w:rPr>
          <w:rFonts w:ascii="Times New Roman" w:hAnsi="Times New Roman"/>
        </w:rPr>
      </w:pPr>
    </w:p>
    <w:p w14:paraId="43A0C18A" w14:textId="77777777" w:rsidR="007B51C9" w:rsidRDefault="007B51C9">
      <w:pPr>
        <w:jc w:val="both"/>
        <w:rPr>
          <w:rFonts w:ascii="Times New Roman" w:hAnsi="Times New Roman"/>
        </w:rPr>
      </w:pPr>
    </w:p>
    <w:p w14:paraId="092DAC52" w14:textId="77777777" w:rsidR="007B51C9" w:rsidRDefault="007B51C9">
      <w:pPr>
        <w:jc w:val="both"/>
        <w:rPr>
          <w:rFonts w:ascii="Times New Roman" w:hAnsi="Times New Roman"/>
        </w:rPr>
      </w:pPr>
    </w:p>
    <w:sectPr w:rsidR="007B51C9">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1C9"/>
    <w:rsid w:val="001E08C5"/>
    <w:rsid w:val="00297327"/>
    <w:rsid w:val="007B51C9"/>
    <w:rsid w:val="008E5E4A"/>
    <w:rsid w:val="00E452A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5B056"/>
  <w15:docId w15:val="{388383AB-60A7-41B0-B0F9-982764B9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CE7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E7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E7D2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E7D2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E7D2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E7D2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E7D2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E7D2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E7D2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CE7D2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qFormat/>
    <w:rsid w:val="00CE7D2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qFormat/>
    <w:rsid w:val="00CE7D2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qFormat/>
    <w:rsid w:val="00CE7D2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qFormat/>
    <w:rsid w:val="00CE7D2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qFormat/>
    <w:rsid w:val="00CE7D2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CE7D2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CE7D2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CE7D26"/>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CE7D26"/>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CE7D26"/>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CE7D26"/>
    <w:rPr>
      <w:i/>
      <w:iCs/>
      <w:color w:val="404040" w:themeColor="text1" w:themeTint="BF"/>
    </w:rPr>
  </w:style>
  <w:style w:type="character" w:styleId="Enfasiintensa">
    <w:name w:val="Intense Emphasis"/>
    <w:basedOn w:val="Carpredefinitoparagrafo"/>
    <w:uiPriority w:val="21"/>
    <w:qFormat/>
    <w:rsid w:val="00CE7D26"/>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CE7D26"/>
    <w:rPr>
      <w:i/>
      <w:iCs/>
      <w:color w:val="0F4761" w:themeColor="accent1" w:themeShade="BF"/>
    </w:rPr>
  </w:style>
  <w:style w:type="character" w:styleId="Riferimentointenso">
    <w:name w:val="Intense Reference"/>
    <w:basedOn w:val="Carpredefinitoparagrafo"/>
    <w:uiPriority w:val="32"/>
    <w:qFormat/>
    <w:rsid w:val="00CE7D26"/>
    <w:rPr>
      <w:b/>
      <w:bCs/>
      <w:smallCaps/>
      <w:color w:val="0F4761" w:themeColor="accent1" w:themeShade="BF"/>
      <w:spacing w:val="5"/>
    </w:rPr>
  </w:style>
  <w:style w:type="paragraph" w:styleId="Titolo">
    <w:name w:val="Title"/>
    <w:basedOn w:val="Normale"/>
    <w:next w:val="Corpotesto"/>
    <w:link w:val="TitoloCarattere"/>
    <w:uiPriority w:val="10"/>
    <w:qFormat/>
    <w:rsid w:val="00CE7D26"/>
    <w:pPr>
      <w:spacing w:after="80" w:line="240" w:lineRule="auto"/>
      <w:contextualSpacing/>
    </w:pPr>
    <w:rPr>
      <w:rFonts w:asciiTheme="majorHAnsi" w:eastAsiaTheme="majorEastAsia" w:hAnsiTheme="majorHAnsi" w:cstheme="majorBidi"/>
      <w:spacing w:val="-10"/>
      <w:sz w:val="56"/>
      <w:szCs w:val="56"/>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lang/>
    </w:rPr>
  </w:style>
  <w:style w:type="paragraph" w:styleId="Sottotitolo">
    <w:name w:val="Subtitle"/>
    <w:basedOn w:val="Normale"/>
    <w:next w:val="Normale"/>
    <w:link w:val="SottotitoloCarattere"/>
    <w:uiPriority w:val="11"/>
    <w:qFormat/>
    <w:rsid w:val="00CE7D2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E7D26"/>
    <w:pPr>
      <w:spacing w:before="160"/>
      <w:jc w:val="center"/>
    </w:pPr>
    <w:rPr>
      <w:i/>
      <w:iCs/>
      <w:color w:val="404040" w:themeColor="text1" w:themeTint="BF"/>
    </w:rPr>
  </w:style>
  <w:style w:type="paragraph" w:styleId="Paragrafoelenco">
    <w:name w:val="List Paragraph"/>
    <w:basedOn w:val="Normale"/>
    <w:uiPriority w:val="34"/>
    <w:qFormat/>
    <w:rsid w:val="00CE7D26"/>
    <w:pPr>
      <w:ind w:left="720"/>
      <w:contextualSpacing/>
    </w:pPr>
  </w:style>
  <w:style w:type="paragraph" w:styleId="Citazioneintensa">
    <w:name w:val="Intense Quote"/>
    <w:basedOn w:val="Normale"/>
    <w:next w:val="Normale"/>
    <w:link w:val="CitazioneintensaCarattere"/>
    <w:uiPriority w:val="30"/>
    <w:qFormat/>
    <w:rsid w:val="00CE7D26"/>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3829</Characters>
  <Application>Microsoft Office Word</Application>
  <DocSecurity>0</DocSecurity>
  <Lines>31</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 DELVECCHIO-30CFU</dc:creator>
  <dc:description/>
  <cp:lastModifiedBy>Rosa Romano</cp:lastModifiedBy>
  <cp:revision>2</cp:revision>
  <dcterms:created xsi:type="dcterms:W3CDTF">2025-04-14T12:43:00Z</dcterms:created>
  <dcterms:modified xsi:type="dcterms:W3CDTF">2025-04-14T12:43:00Z</dcterms:modified>
  <dc:language>it-IT</dc:language>
</cp:coreProperties>
</file>